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4" w:rsidRPr="00C06981" w:rsidRDefault="000F271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F2714" w:rsidRPr="00C06981" w:rsidRDefault="000F271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Pr="00C06981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981" w:rsidRPr="00C06981" w:rsidRDefault="00C0698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P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F2714" w:rsidRPr="00C06981" w:rsidRDefault="00966F75" w:rsidP="00966F7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Правил предоставления </w:t>
      </w:r>
      <w:r w:rsidR="008A00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методики </w:t>
      </w:r>
      <w:r w:rsidR="009E2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распределения </w:t>
      </w:r>
      <w:r w:rsidR="00A8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8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202</w:t>
      </w:r>
      <w:r w:rsidR="00B313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A817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году 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</w:t>
      </w:r>
      <w:r w:rsidR="009E2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межбюджетн</w:t>
      </w:r>
      <w:r w:rsidR="009E2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трансферт</w:t>
      </w:r>
      <w:r w:rsidR="009E2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привидение объектов</w:t>
      </w:r>
      <w:r w:rsidR="00876B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социальной и </w:t>
      </w:r>
      <w:bookmarkStart w:id="0" w:name="_GoBack"/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коммунальной</w:t>
      </w:r>
      <w:bookmarkEnd w:id="0"/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инфраструктуры в нормативное состояние и обеспечение надежности функционирования объектов жизнеобеспечения 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C73ABD" w:rsidP="006328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139.1 Бюджетного кодекса Российской Федерации, государственной программой Еврейской автономной области «Модернизация объектов коммунальной инфраструктуры в Еврейской автономно</w:t>
      </w:r>
      <w:r w:rsidR="00876B48">
        <w:rPr>
          <w:rFonts w:ascii="Times New Roman" w:hAnsi="Times New Roman" w:cs="Times New Roman"/>
          <w:color w:val="000000" w:themeColor="text1"/>
          <w:sz w:val="28"/>
          <w:szCs w:val="28"/>
        </w:rPr>
        <w:t>й области» на 2020 – 2025 годы,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постановлением правительства Еврейской автономной области от 08.04.2020 № 93-пп, и Планом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№ 209-рп, правительство Еврейской автономной области</w:t>
      </w:r>
      <w:proofErr w:type="gramEnd"/>
    </w:p>
    <w:p w:rsidR="000F2714" w:rsidRPr="00C06981" w:rsidRDefault="000F2714" w:rsidP="006328E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A3729" w:rsidRPr="00C06981" w:rsidRDefault="000F2714" w:rsidP="006328E1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прилагаемые </w:t>
      </w:r>
      <w:hyperlink w:anchor="P32" w:history="1">
        <w:r w:rsidRPr="00C0698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Правила</w:t>
        </w:r>
      </w:hyperlink>
      <w:r w:rsidR="005161FF">
        <w:t xml:space="preserve"> 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</w:t>
      </w:r>
      <w:r w:rsidR="00516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244E" w:rsidRPr="009E244E">
        <w:rPr>
          <w:rFonts w:ascii="Times New Roman" w:hAnsi="Times New Roman"/>
          <w:b w:val="0"/>
          <w:color w:val="000000"/>
          <w:sz w:val="28"/>
          <w:szCs w:val="28"/>
        </w:rPr>
        <w:t xml:space="preserve">и методику распределения </w:t>
      </w:r>
      <w:r w:rsidR="00A817E7">
        <w:rPr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</w:t>
      </w:r>
      <w:r w:rsidR="00B313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году </w:t>
      </w:r>
      <w:r w:rsidR="00C73ABD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межбюджетн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трансферт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73ABD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привидение объектов </w:t>
      </w:r>
      <w:r w:rsidR="00876B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социальной и </w:t>
      </w:r>
      <w:r w:rsidR="00C73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0F2714" w:rsidRPr="00C06981" w:rsidRDefault="000F2714" w:rsidP="00CA3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A817E7" w:rsidP="007872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  <w:r w:rsidR="00787232" w:rsidRPr="00333A2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Р.Э. Гольдштейн</w:t>
      </w: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54E" w:rsidRDefault="001635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6354E" w:rsidSect="00083D1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F7835" w:rsidTr="008F7835">
        <w:tc>
          <w:tcPr>
            <w:tcW w:w="4076" w:type="dxa"/>
          </w:tcPr>
          <w:p w:rsidR="008F7835" w:rsidRPr="00C06981" w:rsidRDefault="00B26F79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УТВЕРЖДЕНЫ</w:t>
            </w: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правительства</w:t>
            </w: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Еврейской автономной области</w:t>
            </w:r>
          </w:p>
          <w:p w:rsidR="008F7835" w:rsidRDefault="008F7835" w:rsidP="008F783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от____________№_________</w:t>
            </w:r>
          </w:p>
        </w:tc>
      </w:tr>
    </w:tbl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32"/>
    <w:bookmarkEnd w:id="1"/>
    <w:p w:rsidR="00022B08" w:rsidRPr="00C06981" w:rsidRDefault="0098256B" w:rsidP="00CF7A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"P32" </w:instrTex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328E1" w:rsidRPr="00C73ABD" w:rsidRDefault="006328E1" w:rsidP="00C73AB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800D96" w:rsidRPr="00800D96">
        <w:rPr>
          <w:rFonts w:ascii="Times New Roman" w:hAnsi="Times New Roman" w:cs="Times New Roman"/>
          <w:color w:val="000000"/>
          <w:sz w:val="28"/>
          <w:szCs w:val="28"/>
        </w:rPr>
        <w:t xml:space="preserve">и методика распределения </w:t>
      </w:r>
      <w:r w:rsidR="00A817E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313F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C7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C73ABD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C73AB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</w:t>
      </w:r>
      <w:r w:rsidR="00C73AB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C73A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3ABD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ABD" w:rsidRPr="00C73ABD">
        <w:rPr>
          <w:rFonts w:ascii="Times New Roman" w:hAnsi="Times New Roman" w:cs="Times New Roman"/>
          <w:color w:val="000000" w:themeColor="text1"/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 на прив</w:t>
      </w:r>
      <w:r w:rsidR="005A76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3ABD" w:rsidRPr="00C73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 объектов </w:t>
      </w:r>
      <w:r w:rsidR="00876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и </w:t>
      </w:r>
      <w:r w:rsidR="00C73ABD" w:rsidRPr="00C73ABD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</w:p>
    <w:p w:rsidR="00C73ABD" w:rsidRPr="00C73ABD" w:rsidRDefault="00C73ABD" w:rsidP="00C73AB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C73ABD">
        <w:rPr>
          <w:rFonts w:ascii="Times New Roman" w:hAnsi="Times New Roman"/>
          <w:color w:val="000000" w:themeColor="text1"/>
          <w:sz w:val="28"/>
          <w:szCs w:val="28"/>
        </w:rPr>
        <w:t xml:space="preserve">Настоящие </w:t>
      </w:r>
      <w:hyperlink w:anchor="P32" w:history="1">
        <w:r w:rsidR="006328E1" w:rsidRPr="00C73ABD">
          <w:rPr>
            <w:rFonts w:ascii="Times New Roman" w:hAnsi="Times New Roman"/>
            <w:color w:val="000000" w:themeColor="text1"/>
            <w:sz w:val="28"/>
            <w:szCs w:val="28"/>
          </w:rPr>
          <w:t>Правила</w:t>
        </w:r>
      </w:hyperlink>
      <w:r w:rsidR="005161FF">
        <w:t xml:space="preserve"> </w:t>
      </w:r>
      <w:r w:rsidR="006328E1" w:rsidRPr="00C73ABD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46CCD" w:rsidRPr="00C73ABD">
        <w:rPr>
          <w:rFonts w:ascii="Times New Roman" w:hAnsi="Times New Roman"/>
          <w:color w:val="000000"/>
          <w:sz w:val="28"/>
          <w:szCs w:val="28"/>
        </w:rPr>
        <w:t>и методик</w:t>
      </w:r>
      <w:r w:rsidR="0015413A" w:rsidRPr="00C73ABD">
        <w:rPr>
          <w:rFonts w:ascii="Times New Roman" w:hAnsi="Times New Roman"/>
          <w:color w:val="000000"/>
          <w:sz w:val="28"/>
          <w:szCs w:val="28"/>
        </w:rPr>
        <w:t>а</w:t>
      </w:r>
      <w:r w:rsidR="00C46CCD" w:rsidRPr="00C73ABD">
        <w:rPr>
          <w:rFonts w:ascii="Times New Roman" w:hAnsi="Times New Roman"/>
          <w:color w:val="000000"/>
          <w:sz w:val="28"/>
          <w:szCs w:val="28"/>
        </w:rPr>
        <w:t xml:space="preserve"> распределения в  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>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прив</w:t>
      </w:r>
      <w:r w:rsidR="005A76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 xml:space="preserve">дение объектов </w:t>
      </w:r>
      <w:r w:rsidR="0045736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13A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4C167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413A">
        <w:rPr>
          <w:rFonts w:ascii="Times New Roman" w:hAnsi="Times New Roman"/>
          <w:color w:val="000000" w:themeColor="text1"/>
          <w:sz w:val="28"/>
          <w:szCs w:val="28"/>
        </w:rPr>
        <w:t xml:space="preserve"> Правила</w:t>
      </w:r>
      <w:r w:rsidR="004C167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13A">
        <w:rPr>
          <w:rFonts w:ascii="Times New Roman" w:hAnsi="Times New Roman"/>
          <w:color w:val="000000" w:themeColor="text1"/>
          <w:sz w:val="28"/>
          <w:szCs w:val="28"/>
        </w:rPr>
        <w:t>определяют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порядок и условия предоставления</w:t>
      </w:r>
      <w:r w:rsidR="005161FF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13A">
        <w:rPr>
          <w:rFonts w:ascii="Times New Roman" w:hAnsi="Times New Roman"/>
          <w:color w:val="000000" w:themeColor="text1"/>
          <w:sz w:val="28"/>
          <w:szCs w:val="28"/>
        </w:rPr>
        <w:t>метод</w:t>
      </w:r>
      <w:r w:rsidR="00B26F79">
        <w:rPr>
          <w:rFonts w:ascii="Times New Roman" w:hAnsi="Times New Roman"/>
          <w:color w:val="000000" w:themeColor="text1"/>
          <w:sz w:val="28"/>
          <w:szCs w:val="28"/>
        </w:rPr>
        <w:t>ику</w:t>
      </w:r>
      <w:r w:rsidR="00F324A3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распределения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313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>ин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межбюджетн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трансферт</w:t>
      </w:r>
      <w:r w:rsidR="00C73AB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proofErr w:type="gramEnd"/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бюджета за счет средств федерального бюджета бюджетам муниципальных образований Еврейской автономной области на 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>прив</w:t>
      </w:r>
      <w:r w:rsidR="005A76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 xml:space="preserve">дение объектов </w:t>
      </w:r>
      <w:r w:rsidR="0045736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 w:rsidR="00C73ABD" w:rsidRPr="00C73ABD">
        <w:rPr>
          <w:rFonts w:ascii="Times New Roman" w:hAnsi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C73ABD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трансферт).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2. Трансферт имеет целевое назначение и не может быть использован муниципальными образованиями </w:t>
      </w:r>
      <w:r w:rsidR="00B26F79">
        <w:rPr>
          <w:rFonts w:ascii="Times New Roman" w:hAnsi="Times New Roman"/>
          <w:color w:val="000000" w:themeColor="text1"/>
          <w:sz w:val="28"/>
          <w:szCs w:val="28"/>
        </w:rPr>
        <w:t xml:space="preserve">Еврейской автономной области (далее – </w:t>
      </w:r>
      <w:r w:rsidR="005161FF">
        <w:rPr>
          <w:rFonts w:ascii="Times New Roman" w:hAnsi="Times New Roman"/>
          <w:color w:val="000000" w:themeColor="text1"/>
          <w:sz w:val="28"/>
          <w:szCs w:val="28"/>
        </w:rPr>
        <w:t>муниципальные образования</w:t>
      </w:r>
      <w:r w:rsidR="00B26F7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на иные цели.</w:t>
      </w:r>
    </w:p>
    <w:p w:rsidR="00B90A49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3. Трансферт предоставляется в целях </w:t>
      </w:r>
      <w:proofErr w:type="spellStart"/>
      <w:r w:rsidR="008555D0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AE562E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proofErr w:type="spellEnd"/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 расходных обязательств муниципальных образований</w:t>
      </w:r>
      <w:r w:rsidR="0015413A"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90A49">
        <w:rPr>
          <w:rFonts w:ascii="Times New Roman" w:hAnsi="Times New Roman"/>
          <w:color w:val="000000" w:themeColor="text1"/>
          <w:sz w:val="28"/>
          <w:szCs w:val="28"/>
        </w:rPr>
        <w:t>прив</w:t>
      </w:r>
      <w:r w:rsidR="005A76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90A49">
        <w:rPr>
          <w:rFonts w:ascii="Times New Roman" w:hAnsi="Times New Roman"/>
          <w:color w:val="000000" w:themeColor="text1"/>
          <w:sz w:val="28"/>
          <w:szCs w:val="28"/>
        </w:rPr>
        <w:t xml:space="preserve">дение объектов </w:t>
      </w:r>
      <w:r w:rsidR="0045736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 w:rsidR="00B90A49">
        <w:rPr>
          <w:rFonts w:ascii="Times New Roman" w:hAnsi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жизнеобеспечения.</w:t>
      </w:r>
    </w:p>
    <w:p w:rsidR="009C3B9A" w:rsidRPr="009C3B9A" w:rsidRDefault="0015413A" w:rsidP="009C3B9A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Трансферт</w:t>
      </w:r>
      <w:r w:rsidR="00B9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предоставляется в размере, определенн</w:t>
      </w:r>
      <w:r w:rsidR="005161FF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C3B9A" w:rsidRPr="00CD1A74">
        <w:rPr>
          <w:rFonts w:ascii="Times New Roman" w:hAnsi="Times New Roman"/>
          <w:sz w:val="28"/>
          <w:szCs w:val="28"/>
        </w:rPr>
        <w:t xml:space="preserve"> Планом социального развития центров экономического роста Еврейской автономной области, утвержденн</w:t>
      </w:r>
      <w:r w:rsidR="0028443B">
        <w:rPr>
          <w:rFonts w:ascii="Times New Roman" w:hAnsi="Times New Roman"/>
          <w:sz w:val="28"/>
          <w:szCs w:val="28"/>
        </w:rPr>
        <w:t>ым</w:t>
      </w:r>
      <w:r w:rsidR="00B90A49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="0028443B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="009C3B9A" w:rsidRPr="00CD1A74">
        <w:rPr>
          <w:rFonts w:ascii="Times New Roman" w:hAnsi="Times New Roman"/>
          <w:sz w:val="28"/>
          <w:szCs w:val="28"/>
        </w:rPr>
        <w:t>области от 22.06.2018 № 209-рп</w:t>
      </w:r>
      <w:r w:rsidR="005161FF">
        <w:rPr>
          <w:rFonts w:ascii="Times New Roman" w:hAnsi="Times New Roman"/>
          <w:sz w:val="28"/>
          <w:szCs w:val="28"/>
        </w:rPr>
        <w:t>,</w:t>
      </w:r>
      <w:r w:rsidR="009C3B9A" w:rsidRPr="00CD1A74">
        <w:rPr>
          <w:rFonts w:ascii="Times New Roman" w:hAnsi="Times New Roman"/>
          <w:sz w:val="28"/>
          <w:szCs w:val="28"/>
        </w:rPr>
        <w:t xml:space="preserve"> </w:t>
      </w:r>
      <w:r w:rsidR="003539E8">
        <w:rPr>
          <w:rFonts w:ascii="Times New Roman" w:hAnsi="Times New Roman"/>
          <w:sz w:val="28"/>
          <w:szCs w:val="28"/>
        </w:rPr>
        <w:t xml:space="preserve">и 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0977F7">
        <w:rPr>
          <w:rFonts w:ascii="Times New Roman" w:hAnsi="Times New Roman"/>
          <w:sz w:val="28"/>
          <w:szCs w:val="28"/>
          <w:lang w:eastAsia="ru-RU"/>
        </w:rPr>
        <w:t>ой</w:t>
      </w:r>
      <w:r w:rsidR="00B90A4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0977F7" w:rsidRPr="0028443B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0977F7">
        <w:rPr>
          <w:rFonts w:ascii="Times New Roman" w:hAnsi="Times New Roman"/>
          <w:sz w:val="28"/>
          <w:szCs w:val="28"/>
          <w:lang w:eastAsia="ru-RU"/>
        </w:rPr>
        <w:t>ой</w:t>
      </w:r>
      <w:r w:rsidR="003539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0977F7" w:rsidRPr="0028443B">
        <w:rPr>
          <w:rFonts w:ascii="Times New Roman" w:hAnsi="Times New Roman"/>
          <w:sz w:val="28"/>
          <w:szCs w:val="28"/>
        </w:rPr>
        <w:t>области «</w:t>
      </w:r>
      <w:r w:rsidR="00E766E8">
        <w:rPr>
          <w:rFonts w:ascii="Times New Roman" w:hAnsi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области» на 2020 – 2025 годы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0977F7">
        <w:rPr>
          <w:rFonts w:ascii="Times New Roman" w:hAnsi="Times New Roman"/>
          <w:sz w:val="28"/>
          <w:szCs w:val="28"/>
          <w:lang w:eastAsia="ru-RU"/>
        </w:rPr>
        <w:t>ой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</w:t>
      </w:r>
      <w:r w:rsidR="005161FF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</w:t>
      </w:r>
      <w:r w:rsidR="00581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539E8">
        <w:rPr>
          <w:rFonts w:ascii="Times New Roman" w:hAnsi="Times New Roman"/>
          <w:sz w:val="28"/>
          <w:szCs w:val="28"/>
          <w:lang w:eastAsia="ru-RU"/>
        </w:rPr>
        <w:t>08.04.2020</w:t>
      </w:r>
      <w:r w:rsidR="0058198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539E8">
        <w:rPr>
          <w:rFonts w:ascii="Times New Roman" w:hAnsi="Times New Roman"/>
          <w:sz w:val="28"/>
          <w:szCs w:val="28"/>
          <w:lang w:eastAsia="ru-RU"/>
        </w:rPr>
        <w:t>93</w:t>
      </w:r>
      <w:r w:rsidR="00581986">
        <w:rPr>
          <w:rFonts w:ascii="Times New Roman" w:hAnsi="Times New Roman"/>
          <w:sz w:val="28"/>
          <w:szCs w:val="28"/>
          <w:lang w:eastAsia="ru-RU"/>
        </w:rPr>
        <w:t>-пп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835A8" w:rsidRPr="00C73ABD" w:rsidRDefault="00D835A8" w:rsidP="00CD1A74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A74">
        <w:rPr>
          <w:rFonts w:ascii="Times New Roman" w:hAnsi="Times New Roman"/>
          <w:color w:val="000000"/>
          <w:sz w:val="28"/>
          <w:szCs w:val="28"/>
        </w:rPr>
        <w:t>Р</w:t>
      </w:r>
      <w:r w:rsidR="009C3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аспределение трансферта утверждается распоряжением правительства </w:t>
      </w:r>
      <w:r w:rsidR="005161FF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2844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3ABD" w:rsidRPr="00C73ABD" w:rsidRDefault="00C73ABD" w:rsidP="00C73A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4072" w:rsidRPr="0028443B" w:rsidRDefault="00EC4072" w:rsidP="00EC4072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443B">
        <w:rPr>
          <w:rFonts w:ascii="Times New Roman" w:hAnsi="Times New Roman"/>
          <w:sz w:val="28"/>
          <w:szCs w:val="28"/>
          <w:lang w:eastAsia="ru-RU"/>
        </w:rPr>
        <w:t xml:space="preserve">Критерием отбора муниципального образования для предоставления трансферта является включение </w:t>
      </w:r>
      <w:r w:rsidR="001A6823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="00405DB2">
        <w:rPr>
          <w:rFonts w:ascii="Times New Roman" w:hAnsi="Times New Roman"/>
          <w:color w:val="000000" w:themeColor="text1"/>
          <w:sz w:val="28"/>
          <w:szCs w:val="28"/>
        </w:rPr>
        <w:t>по прив</w:t>
      </w:r>
      <w:r w:rsidR="005A76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05DB2">
        <w:rPr>
          <w:rFonts w:ascii="Times New Roman" w:hAnsi="Times New Roman"/>
          <w:color w:val="000000" w:themeColor="text1"/>
          <w:sz w:val="28"/>
          <w:szCs w:val="28"/>
        </w:rPr>
        <w:t xml:space="preserve">дению объектов </w:t>
      </w:r>
      <w:r w:rsidR="0045736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 w:rsidR="00405DB2">
        <w:rPr>
          <w:rFonts w:ascii="Times New Roman" w:hAnsi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405DB2" w:rsidRPr="00284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43B">
        <w:rPr>
          <w:rFonts w:ascii="Times New Roman" w:hAnsi="Times New Roman"/>
          <w:sz w:val="28"/>
          <w:szCs w:val="28"/>
          <w:lang w:eastAsia="ru-RU"/>
        </w:rPr>
        <w:t>соответствующего муниципального образования в государственную</w:t>
      </w:r>
      <w:r w:rsidR="003539E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28443B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Pr="0028443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3539E8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Pr="0028443B">
        <w:rPr>
          <w:rFonts w:ascii="Times New Roman" w:hAnsi="Times New Roman"/>
          <w:sz w:val="28"/>
          <w:szCs w:val="28"/>
        </w:rPr>
        <w:t>области «</w:t>
      </w:r>
      <w:r w:rsidR="00E766E8">
        <w:rPr>
          <w:rFonts w:ascii="Times New Roman" w:hAnsi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области» на 2020 – 2025 годы</w:t>
      </w:r>
      <w:r w:rsidR="001A6823">
        <w:rPr>
          <w:rFonts w:ascii="Times New Roman" w:hAnsi="Times New Roman"/>
          <w:sz w:val="28"/>
          <w:szCs w:val="28"/>
          <w:lang w:eastAsia="ru-RU"/>
        </w:rPr>
        <w:t xml:space="preserve">, утвержденную постановлением правительства </w:t>
      </w:r>
      <w:r w:rsidR="005161FF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1A6823">
        <w:rPr>
          <w:rFonts w:ascii="Times New Roman" w:hAnsi="Times New Roman"/>
          <w:sz w:val="28"/>
          <w:szCs w:val="28"/>
          <w:lang w:eastAsia="ru-RU"/>
        </w:rPr>
        <w:t xml:space="preserve">области от </w:t>
      </w:r>
      <w:r w:rsidR="003539E8">
        <w:rPr>
          <w:rFonts w:ascii="Times New Roman" w:hAnsi="Times New Roman"/>
          <w:sz w:val="28"/>
          <w:szCs w:val="28"/>
          <w:lang w:eastAsia="ru-RU"/>
        </w:rPr>
        <w:t>08.04.2020</w:t>
      </w:r>
      <w:r w:rsidR="001A682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539E8">
        <w:rPr>
          <w:rFonts w:ascii="Times New Roman" w:hAnsi="Times New Roman"/>
          <w:sz w:val="28"/>
          <w:szCs w:val="28"/>
          <w:lang w:eastAsia="ru-RU"/>
        </w:rPr>
        <w:t>93</w:t>
      </w:r>
      <w:r w:rsidR="001A6823">
        <w:rPr>
          <w:rFonts w:ascii="Times New Roman" w:hAnsi="Times New Roman"/>
          <w:sz w:val="28"/>
          <w:szCs w:val="28"/>
          <w:lang w:eastAsia="ru-RU"/>
        </w:rPr>
        <w:t>-пп</w:t>
      </w:r>
      <w:r w:rsidR="000977F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83795" w:rsidRDefault="00483795" w:rsidP="004837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Трансферт предоставляется </w:t>
      </w:r>
      <w:r w:rsidR="00A817E7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департаментом строительства и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жилищно-коммунального хозяйства правительства </w:t>
      </w:r>
      <w:r w:rsidR="003539E8">
        <w:rPr>
          <w:rFonts w:ascii="Times New Roman" w:hAnsi="Times New Roman"/>
          <w:color w:val="000000" w:themeColor="text1"/>
          <w:sz w:val="28"/>
          <w:szCs w:val="28"/>
        </w:rPr>
        <w:t>Еврейской автономной области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муниципальным образованиям</w:t>
      </w:r>
      <w:r w:rsidR="003539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в пределах бюджетны</w:t>
      </w:r>
      <w:r w:rsidR="00713031">
        <w:rPr>
          <w:rFonts w:ascii="Times New Roman" w:hAnsi="Times New Roman"/>
          <w:color w:val="000000" w:themeColor="text1"/>
          <w:sz w:val="28"/>
          <w:szCs w:val="28"/>
        </w:rPr>
        <w:t>х ассигнований, предусмотренных в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8555D0" w:rsidRPr="008555D0" w:rsidRDefault="008555D0" w:rsidP="0085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Pr="008555D0">
        <w:rPr>
          <w:rFonts w:ascii="Times New Roman" w:eastAsiaTheme="minorHAnsi" w:hAnsi="Times New Roman"/>
          <w:sz w:val="28"/>
          <w:szCs w:val="28"/>
        </w:rPr>
        <w:t xml:space="preserve">Уровень </w:t>
      </w:r>
      <w:proofErr w:type="spellStart"/>
      <w:r w:rsidRPr="008555D0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8555D0">
        <w:rPr>
          <w:rFonts w:ascii="Times New Roman" w:eastAsiaTheme="minorHAnsi" w:hAnsi="Times New Roman"/>
          <w:sz w:val="28"/>
          <w:szCs w:val="28"/>
        </w:rPr>
        <w:t xml:space="preserve"> расходного обязательства муниципального образования за счет сре</w:t>
      </w:r>
      <w:proofErr w:type="gramStart"/>
      <w:r w:rsidRPr="008555D0">
        <w:rPr>
          <w:rFonts w:ascii="Times New Roman" w:eastAsiaTheme="minorHAnsi" w:hAnsi="Times New Roman"/>
          <w:sz w:val="28"/>
          <w:szCs w:val="28"/>
        </w:rPr>
        <w:t>дств тр</w:t>
      </w:r>
      <w:proofErr w:type="gramEnd"/>
      <w:r w:rsidRPr="008555D0">
        <w:rPr>
          <w:rFonts w:ascii="Times New Roman" w:eastAsiaTheme="minorHAnsi" w:hAnsi="Times New Roman"/>
          <w:sz w:val="28"/>
          <w:szCs w:val="28"/>
        </w:rPr>
        <w:t>ансферта составляет 100 процентов расходного обязательства муниципального образования.</w:t>
      </w:r>
    </w:p>
    <w:p w:rsidR="000F2714" w:rsidRDefault="008555D0" w:rsidP="00C235A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>. Услови</w:t>
      </w:r>
      <w:r w:rsidR="005161F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32E5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трансферта явля</w:t>
      </w:r>
      <w:r w:rsidR="00C235A9">
        <w:rPr>
          <w:rFonts w:ascii="Times New Roman" w:hAnsi="Times New Roman"/>
          <w:color w:val="000000" w:themeColor="text1"/>
          <w:sz w:val="28"/>
          <w:szCs w:val="28"/>
        </w:rPr>
        <w:t xml:space="preserve">ется 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наличие в муниципальной программе мероприятия </w:t>
      </w:r>
      <w:r w:rsidR="003539E8">
        <w:rPr>
          <w:rFonts w:ascii="Times New Roman" w:hAnsi="Times New Roman"/>
          <w:color w:val="000000" w:themeColor="text1"/>
          <w:sz w:val="28"/>
          <w:szCs w:val="28"/>
        </w:rPr>
        <w:t>на приведение объектов</w:t>
      </w:r>
      <w:r w:rsidR="00457366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и</w:t>
      </w:r>
      <w:r w:rsidR="003539E8"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коммунальной инфраструктуры в нормативное состояние и обеспечение надежности функционирования объектов жизнеобеспечения</w:t>
      </w:r>
      <w:r w:rsidR="00C235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6A72" w:rsidRPr="00483F88" w:rsidRDefault="004C2815" w:rsidP="0048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proofErr w:type="gramStart"/>
        <w:r w:rsidR="008555D0">
          <w:rPr>
            <w:rFonts w:ascii="Times New Roman" w:hAnsi="Times New Roman"/>
            <w:color w:val="000000"/>
            <w:sz w:val="28"/>
            <w:szCs w:val="28"/>
            <w:lang w:eastAsia="ru-RU"/>
          </w:rPr>
          <w:t>10</w:t>
        </w:r>
      </w:hyperlink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трансферта осуществляется в соответствии с соглашением о предоставлении трансферта, заключенн</w:t>
      </w:r>
      <w:r w:rsidR="005A7629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</w:t>
      </w:r>
      <w:r w:rsidR="00CF247B">
        <w:rPr>
          <w:rFonts w:ascii="Times New Roman" w:hAnsi="Times New Roman"/>
          <w:sz w:val="28"/>
          <w:szCs w:val="28"/>
        </w:rPr>
        <w:t>департаментом строительства и</w:t>
      </w:r>
      <w:r w:rsidR="004E6A72" w:rsidRPr="00EB561F">
        <w:rPr>
          <w:rFonts w:ascii="Times New Roman" w:hAnsi="Times New Roman"/>
          <w:sz w:val="28"/>
          <w:szCs w:val="28"/>
        </w:rPr>
        <w:t xml:space="preserve"> жилищно-коммунального хозяйства </w:t>
      </w:r>
      <w:r w:rsidR="004E6A72" w:rsidRPr="00EB561F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="003B198E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4E6A72" w:rsidRPr="00EB561F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CF247B">
        <w:rPr>
          <w:rFonts w:ascii="Times New Roman" w:hAnsi="Times New Roman"/>
          <w:color w:val="000000"/>
          <w:sz w:val="28"/>
          <w:szCs w:val="28"/>
          <w:lang w:eastAsia="ru-RU"/>
        </w:rPr>
        <w:t>и муниципальными образованиями</w:t>
      </w:r>
      <w:r w:rsidR="003B1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3F88">
        <w:rPr>
          <w:rFonts w:ascii="Times New Roman" w:eastAsiaTheme="minorHAnsi" w:hAnsi="Times New Roman"/>
          <w:sz w:val="28"/>
          <w:szCs w:val="28"/>
        </w:rPr>
        <w:t xml:space="preserve">(далее – Соглашение) </w:t>
      </w:r>
      <w:r w:rsidR="000A2FA8">
        <w:rPr>
          <w:rFonts w:ascii="Times New Roman" w:eastAsiaTheme="minorHAnsi" w:hAnsi="Times New Roman"/>
          <w:sz w:val="28"/>
          <w:szCs w:val="28"/>
        </w:rPr>
        <w:t xml:space="preserve">в соответствии с типовой формой соглашения, утвержденной Министерством финансов Российской Федерации </w:t>
      </w:r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государственной интегрированной информационной системы управления общественными финансами «Электро</w:t>
      </w:r>
      <w:r w:rsidR="00483F88">
        <w:rPr>
          <w:rFonts w:ascii="Times New Roman" w:hAnsi="Times New Roman"/>
          <w:color w:val="000000"/>
          <w:sz w:val="28"/>
          <w:szCs w:val="28"/>
          <w:lang w:eastAsia="ru-RU"/>
        </w:rPr>
        <w:t>нный бюджет»</w:t>
      </w:r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, путем перечисления средств на счет, открытый в территориальном органе Федерального казначейства.</w:t>
      </w:r>
      <w:proofErr w:type="gramEnd"/>
    </w:p>
    <w:p w:rsidR="000F2714" w:rsidRDefault="00451C59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. Оценка эффективности использования трансферта осуществляется </w:t>
      </w:r>
      <w:r w:rsidR="00CF247B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департаментом строительства и </w:t>
      </w:r>
      <w:r w:rsidR="00C60364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жилищно-коммунального 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хозяйства </w:t>
      </w:r>
      <w:r w:rsidR="00C60364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</w:t>
      </w:r>
      <w:r w:rsidR="003B1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</w:t>
      </w:r>
      <w:r w:rsidR="00C60364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достигнутых муниципальным образованием</w:t>
      </w:r>
      <w:r w:rsidR="00F32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>значений результа</w:t>
      </w:r>
      <w:r w:rsidR="00483F88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трансферта</w:t>
      </w:r>
      <w:r w:rsidR="00B90A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установленных Соглашением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2636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. Муниципальное образование</w:t>
      </w:r>
      <w:r w:rsidR="00192636" w:rsidRPr="001926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2636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в </w:t>
      </w:r>
      <w:r w:rsidR="00192636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строительства и </w:t>
      </w:r>
      <w:r w:rsidR="00192636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 правительства </w:t>
      </w:r>
      <w:r w:rsidR="001926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</w:t>
      </w:r>
      <w:r w:rsidR="00192636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1926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2636" w:rsidRPr="00C06981">
        <w:rPr>
          <w:rFonts w:ascii="Times New Roman" w:hAnsi="Times New Roman"/>
          <w:color w:val="000000" w:themeColor="text1"/>
          <w:sz w:val="28"/>
          <w:szCs w:val="28"/>
        </w:rPr>
        <w:t>отчеты</w:t>
      </w:r>
      <w:r w:rsidR="0019263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F2714" w:rsidRDefault="00192636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об осуществлении расходов бюджета муниципального образования, источником финансового обеспечения которых является трансферт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762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ежемесячно не позднее </w:t>
      </w:r>
      <w:r w:rsidR="00280DDB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числа месяца,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отчетным;</w:t>
      </w:r>
    </w:p>
    <w:p w:rsidR="00192636" w:rsidRPr="008E075B" w:rsidRDefault="00192636" w:rsidP="008E07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75B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8E075B">
        <w:rPr>
          <w:rFonts w:ascii="Times New Roman" w:hAnsi="Times New Roman"/>
          <w:sz w:val="28"/>
          <w:szCs w:val="28"/>
        </w:rPr>
        <w:t xml:space="preserve"> о достижении значений результатов предоставления трансферта </w:t>
      </w:r>
      <w:r w:rsidR="005A7629">
        <w:rPr>
          <w:rFonts w:ascii="Times New Roman" w:hAnsi="Times New Roman"/>
          <w:sz w:val="28"/>
          <w:szCs w:val="28"/>
        </w:rPr>
        <w:t xml:space="preserve">- </w:t>
      </w:r>
      <w:r w:rsidRPr="008E075B">
        <w:rPr>
          <w:rFonts w:ascii="Times New Roman" w:hAnsi="Times New Roman"/>
          <w:sz w:val="28"/>
          <w:szCs w:val="28"/>
        </w:rPr>
        <w:t>не позднее 3 рабочих дней</w:t>
      </w:r>
      <w:r w:rsidR="008E075B" w:rsidRPr="008E075B">
        <w:rPr>
          <w:rFonts w:ascii="Times New Roman" w:hAnsi="Times New Roman"/>
          <w:sz w:val="28"/>
          <w:szCs w:val="28"/>
        </w:rPr>
        <w:t xml:space="preserve"> месяца, следующего за отчетным </w:t>
      </w:r>
      <w:r w:rsidRPr="008E075B">
        <w:rPr>
          <w:rFonts w:ascii="Times New Roman" w:hAnsi="Times New Roman"/>
          <w:sz w:val="28"/>
          <w:szCs w:val="28"/>
        </w:rPr>
        <w:t>периодом; е</w:t>
      </w:r>
      <w:r w:rsidR="008E075B" w:rsidRPr="008E075B">
        <w:rPr>
          <w:rFonts w:ascii="Times New Roman" w:hAnsi="Times New Roman"/>
          <w:sz w:val="28"/>
          <w:szCs w:val="28"/>
        </w:rPr>
        <w:t xml:space="preserve">жегодные отчеты </w:t>
      </w:r>
      <w:r w:rsidR="008E075B">
        <w:rPr>
          <w:rFonts w:ascii="Times New Roman" w:hAnsi="Times New Roman"/>
          <w:sz w:val="28"/>
          <w:szCs w:val="28"/>
        </w:rPr>
        <w:t>–</w:t>
      </w:r>
      <w:r w:rsidR="008E075B" w:rsidRPr="008E075B">
        <w:rPr>
          <w:rFonts w:ascii="Times New Roman" w:hAnsi="Times New Roman"/>
          <w:sz w:val="28"/>
          <w:szCs w:val="28"/>
        </w:rPr>
        <w:t xml:space="preserve"> не позднее 15 </w:t>
      </w:r>
      <w:r w:rsidRPr="008E075B">
        <w:rPr>
          <w:rFonts w:ascii="Times New Roman" w:hAnsi="Times New Roman"/>
          <w:sz w:val="28"/>
          <w:szCs w:val="28"/>
        </w:rPr>
        <w:t>раб</w:t>
      </w:r>
      <w:r w:rsidR="008E075B" w:rsidRPr="008E075B">
        <w:rPr>
          <w:rFonts w:ascii="Times New Roman" w:hAnsi="Times New Roman"/>
          <w:sz w:val="28"/>
          <w:szCs w:val="28"/>
        </w:rPr>
        <w:t xml:space="preserve">очих дней месяца, следующего за </w:t>
      </w:r>
      <w:r w:rsidRPr="008E075B">
        <w:rPr>
          <w:rFonts w:ascii="Times New Roman" w:hAnsi="Times New Roman"/>
          <w:sz w:val="28"/>
          <w:szCs w:val="28"/>
        </w:rPr>
        <w:t>отчетным периодом</w:t>
      </w:r>
      <w:r w:rsidR="005A7629">
        <w:rPr>
          <w:rFonts w:ascii="Times New Roman" w:hAnsi="Times New Roman"/>
          <w:sz w:val="28"/>
          <w:szCs w:val="28"/>
        </w:rPr>
        <w:t>;</w:t>
      </w:r>
      <w:r w:rsidRPr="008E075B">
        <w:rPr>
          <w:rFonts w:ascii="Times New Roman" w:hAnsi="Times New Roman"/>
          <w:sz w:val="28"/>
          <w:szCs w:val="28"/>
        </w:rPr>
        <w:t xml:space="preserve"> ежегодные уточненные отчет</w:t>
      </w:r>
      <w:r w:rsidR="008E075B" w:rsidRPr="008E075B">
        <w:rPr>
          <w:rFonts w:ascii="Times New Roman" w:hAnsi="Times New Roman"/>
          <w:sz w:val="28"/>
          <w:szCs w:val="28"/>
        </w:rPr>
        <w:t xml:space="preserve">ы </w:t>
      </w:r>
      <w:r w:rsidR="008E075B">
        <w:rPr>
          <w:rFonts w:ascii="Times New Roman" w:hAnsi="Times New Roman"/>
          <w:sz w:val="28"/>
          <w:szCs w:val="28"/>
        </w:rPr>
        <w:t>–</w:t>
      </w:r>
      <w:r w:rsidR="008E075B" w:rsidRPr="008E075B">
        <w:rPr>
          <w:rFonts w:ascii="Times New Roman" w:hAnsi="Times New Roman"/>
          <w:sz w:val="28"/>
          <w:szCs w:val="28"/>
        </w:rPr>
        <w:t xml:space="preserve"> не позднее </w:t>
      </w:r>
      <w:r w:rsidR="008E075B">
        <w:rPr>
          <w:rFonts w:ascii="Times New Roman" w:hAnsi="Times New Roman"/>
          <w:sz w:val="28"/>
          <w:szCs w:val="28"/>
        </w:rPr>
        <w:br/>
      </w:r>
      <w:r w:rsidR="008E075B" w:rsidRPr="008E075B">
        <w:rPr>
          <w:rFonts w:ascii="Times New Roman" w:hAnsi="Times New Roman"/>
          <w:sz w:val="28"/>
          <w:szCs w:val="28"/>
        </w:rPr>
        <w:t xml:space="preserve">10 февраля года, </w:t>
      </w:r>
      <w:r w:rsidRPr="008E075B">
        <w:rPr>
          <w:rFonts w:ascii="Times New Roman" w:hAnsi="Times New Roman"/>
          <w:sz w:val="28"/>
          <w:szCs w:val="28"/>
        </w:rPr>
        <w:t>следующего за отчетным.</w:t>
      </w:r>
      <w:proofErr w:type="gramEnd"/>
    </w:p>
    <w:p w:rsidR="001634FC" w:rsidRPr="00AE6CCB" w:rsidRDefault="000F2714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. Не использованный 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текущем финансовом году остаток трансферта подлежит перечислению в доход областного бюджета муниципальными образованиями</w:t>
      </w:r>
      <w:r w:rsidR="007F6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порядке, установленном бюджетным законодательством Российской Федерации.</w:t>
      </w: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1634FC" w:rsidRPr="00AE6CCB" w:rsidRDefault="004C2815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proofErr w:type="gramStart"/>
        <w:r w:rsidR="001634FC" w:rsidRPr="00AE6CCB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  <w:r w:rsidR="008555D0">
          <w:rPr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 В случае если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органом местного самоуправления муниципального образования 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состоянию на 31 декабря года предоставления </w:t>
      </w:r>
      <w:r w:rsidR="007F624B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допущены нарушения обязательств по Соглашению и в срок до первой даты представления отчетности о достижении значений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результата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Соглашением указанные нарушения не устранены, объем средств, подлежащий возврату из бюджета муниципального образования в областной бюджет в срок до 20 мая</w:t>
      </w:r>
      <w:proofErr w:type="gramEnd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следующего за годом предоставления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рассчитывается по формуле: 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трансферта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x k x m / n)</w:t>
      </w:r>
      <w:r w:rsidR="00761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 0,1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027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объем средств, подлежащий возврату из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3B1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6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в областной бюджет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трансферта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размер трансферта, предоставленного бюджет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отчетном финансовом году;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k – коэффициент возврата трансферта;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m – количество результат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имеет положительное значение;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n – общее количество результат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объема средств, подлежащих возврату из бюджет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90A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областной бюджет, в размере трансферта, предоставленного бюджетам муниципальных образований</w:t>
      </w:r>
      <w:r w:rsidR="00F32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отчетном финансовом году, не учитывается размер остатка трансферта, не использованного по состоянию на </w:t>
      </w:r>
      <w:r w:rsidR="005A762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1 января текущего финансового года.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</w:t>
      </w:r>
      <w:r w:rsidRPr="001634FC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m,</w:t>
      </w:r>
    </w:p>
    <w:p w:rsidR="001634FC" w:rsidRP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1634FC" w:rsidRPr="00B2163D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290D8E" w:rsidRPr="00290D8E" w:rsidRDefault="00290D8E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k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возврата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="00290D8E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B2163D" w:rsidRPr="00B74772" w:rsidRDefault="00AE562E" w:rsidP="00AE56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7477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SUM</w:t>
      </w:r>
      <w:r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8555D0"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знак сумм</w:t>
      </w:r>
      <w:r w:rsidR="00B413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ирования</w:t>
      </w:r>
      <w:r w:rsidR="00B74772"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m – количество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имеет положительное значение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трансферта используются только положительные значения индекса, отражающего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B90A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определяется: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</w:t>
      </w:r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фактически достигнутое значение i-го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трансферта на отчетную дату;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плановое значение i-го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установленное 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оглашением;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б) для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плановое значение i-го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установленное </w:t>
      </w:r>
      <w:r w:rsidR="00CF0C8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оглашением;</w:t>
      </w:r>
    </w:p>
    <w:p w:rsidR="001634FC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фактически достигнутое значение i-го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трансферта на отчетную дату.</w:t>
      </w:r>
    </w:p>
    <w:p w:rsidR="001634FC" w:rsidRPr="00AE6CCB" w:rsidRDefault="004C2815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3" w:history="1">
        <w:r w:rsidR="001634FC" w:rsidRPr="00AE6CCB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</w:hyperlink>
      <w:r w:rsidR="008555D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 Трансфе</w:t>
      </w:r>
      <w:proofErr w:type="gramStart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рт в сл</w:t>
      </w:r>
      <w:proofErr w:type="gramEnd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учае его нецелевого использования подлежит взысканию в доход областного бюджета в соответствии с бюджетным законодательством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34FC" w:rsidRDefault="001634FC" w:rsidP="0016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CCB">
        <w:rPr>
          <w:rFonts w:ascii="Times New Roman" w:hAnsi="Times New Roman"/>
          <w:color w:val="000000"/>
          <w:sz w:val="28"/>
          <w:szCs w:val="28"/>
        </w:rPr>
        <w:t>1</w:t>
      </w:r>
      <w:r w:rsidR="008555D0">
        <w:rPr>
          <w:rFonts w:ascii="Times New Roman" w:hAnsi="Times New Roman"/>
          <w:color w:val="000000"/>
          <w:sz w:val="28"/>
          <w:szCs w:val="28"/>
        </w:rPr>
        <w:t>6</w:t>
      </w:r>
      <w:r w:rsidRPr="00AE6CCB">
        <w:rPr>
          <w:rFonts w:ascii="Times New Roman" w:hAnsi="Times New Roman"/>
          <w:color w:val="000000"/>
          <w:sz w:val="28"/>
          <w:szCs w:val="28"/>
        </w:rPr>
        <w:t>. В случае нарушения муниципальными образованиями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C46038">
        <w:rPr>
          <w:rFonts w:ascii="Times New Roman" w:hAnsi="Times New Roman"/>
          <w:sz w:val="28"/>
          <w:szCs w:val="28"/>
        </w:rPr>
        <w:lastRenderedPageBreak/>
        <w:t xml:space="preserve">17.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4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3B198E">
        <w:t xml:space="preserve"> </w:t>
      </w:r>
      <w:r w:rsidRPr="00C46038">
        <w:rPr>
          <w:rFonts w:ascii="Times New Roman" w:hAnsi="Times New Roman"/>
          <w:sz w:val="28"/>
          <w:szCs w:val="28"/>
        </w:rPr>
        <w:t>настоящ</w:t>
      </w:r>
      <w:r w:rsidR="00F8657A">
        <w:rPr>
          <w:rFonts w:ascii="Times New Roman" w:hAnsi="Times New Roman"/>
          <w:sz w:val="28"/>
          <w:szCs w:val="28"/>
        </w:rPr>
        <w:t>их</w:t>
      </w:r>
      <w:r w:rsidR="003B198E">
        <w:rPr>
          <w:rFonts w:ascii="Times New Roman" w:hAnsi="Times New Roman"/>
          <w:sz w:val="28"/>
          <w:szCs w:val="28"/>
        </w:rPr>
        <w:t xml:space="preserve"> </w:t>
      </w:r>
      <w:r w:rsidR="00F8657A">
        <w:rPr>
          <w:rFonts w:ascii="Times New Roman" w:hAnsi="Times New Roman"/>
          <w:sz w:val="28"/>
          <w:szCs w:val="28"/>
        </w:rPr>
        <w:t>Правил</w:t>
      </w:r>
      <w:r w:rsidRPr="00C46038">
        <w:rPr>
          <w:rFonts w:ascii="Times New Roman" w:hAnsi="Times New Roman"/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038"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и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</w:t>
      </w:r>
      <w:r w:rsidR="00B90A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Pr="00C46038">
        <w:rPr>
          <w:rFonts w:ascii="Times New Roman" w:hAnsi="Times New Roman"/>
          <w:sz w:val="28"/>
          <w:szCs w:val="28"/>
        </w:rPr>
        <w:t xml:space="preserve"> при наличии основания,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предусмотренного </w:t>
      </w:r>
      <w:hyperlink w:anchor="Par1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абзацем первым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C46038">
        <w:rPr>
          <w:rFonts w:ascii="Times New Roman" w:hAnsi="Times New Roman"/>
          <w:sz w:val="28"/>
          <w:szCs w:val="28"/>
        </w:rPr>
        <w:t xml:space="preserve">пункта, подготавливает заключение о причинах неисполнения муниципальным образованием соответствующих обязательств, а также о целесообразности </w:t>
      </w:r>
      <w:proofErr w:type="gramStart"/>
      <w:r w:rsidRPr="00C46038">
        <w:rPr>
          <w:rFonts w:ascii="Times New Roman" w:hAnsi="Times New Roman"/>
          <w:sz w:val="28"/>
          <w:szCs w:val="28"/>
        </w:rPr>
        <w:t>продления срока устранения нарушения данных обязательств</w:t>
      </w:r>
      <w:proofErr w:type="gramEnd"/>
      <w:r w:rsidRPr="00C46038">
        <w:rPr>
          <w:rFonts w:ascii="Times New Roman" w:hAnsi="Times New Roman"/>
          <w:sz w:val="28"/>
          <w:szCs w:val="28"/>
        </w:rPr>
        <w:t xml:space="preserve"> и достаточности мер, предпринимаемых для устранения такого нарушения.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038">
        <w:rPr>
          <w:rFonts w:ascii="Times New Roman" w:hAnsi="Times New Roman"/>
          <w:sz w:val="28"/>
          <w:szCs w:val="28"/>
        </w:rPr>
        <w:t xml:space="preserve">Указанное заключение формируется не позднее </w:t>
      </w:r>
      <w:r w:rsidR="005A7629">
        <w:rPr>
          <w:rFonts w:ascii="Times New Roman" w:hAnsi="Times New Roman"/>
          <w:sz w:val="28"/>
          <w:szCs w:val="28"/>
        </w:rPr>
        <w:t>0</w:t>
      </w:r>
      <w:r w:rsidRPr="00C46038">
        <w:rPr>
          <w:rFonts w:ascii="Times New Roman" w:hAnsi="Times New Roman"/>
          <w:sz w:val="28"/>
          <w:szCs w:val="28"/>
        </w:rPr>
        <w:t xml:space="preserve">5 июня года, следующего за годом предоставления трансферта,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</w:t>
      </w:r>
      <w:r w:rsidR="00F32E57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</w:t>
      </w:r>
      <w:r w:rsidR="00CF0C8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</w:t>
      </w:r>
      <w:r w:rsidR="009112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</w:t>
      </w:r>
      <w:r w:rsidR="003B1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3B1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6038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образования, допустившим нарушение соответствующих обязательств.</w:t>
      </w:r>
      <w:proofErr w:type="gramEnd"/>
      <w:r w:rsidRPr="00C46038">
        <w:rPr>
          <w:rFonts w:ascii="Times New Roman" w:hAnsi="Times New Roman"/>
          <w:sz w:val="28"/>
          <w:szCs w:val="28"/>
        </w:rPr>
        <w:t xml:space="preserve">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46038">
        <w:rPr>
          <w:rFonts w:ascii="Times New Roman" w:hAnsi="Times New Roman"/>
          <w:sz w:val="28"/>
          <w:szCs w:val="28"/>
        </w:rPr>
        <w:t>В случае отсутствия оснований для освобождения органов местного самоуправления муниципальных образований</w:t>
      </w:r>
      <w:r w:rsidR="007F624B">
        <w:rPr>
          <w:rFonts w:ascii="Times New Roman" w:hAnsi="Times New Roman"/>
          <w:sz w:val="28"/>
          <w:szCs w:val="28"/>
        </w:rPr>
        <w:t xml:space="preserve"> </w:t>
      </w:r>
      <w:r w:rsidRPr="00C46038">
        <w:rPr>
          <w:rFonts w:ascii="Times New Roman" w:hAnsi="Times New Roman"/>
          <w:sz w:val="28"/>
          <w:szCs w:val="28"/>
        </w:rPr>
        <w:t xml:space="preserve">от применения мер ответственности, предусмотренных </w:t>
      </w:r>
      <w:hyperlink r:id="rId15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>, департа</w:t>
      </w:r>
      <w:r w:rsidR="007F624B">
        <w:rPr>
          <w:rFonts w:ascii="Times New Roman" w:hAnsi="Times New Roman"/>
          <w:color w:val="000000" w:themeColor="text1"/>
          <w:sz w:val="28"/>
          <w:szCs w:val="28"/>
        </w:rPr>
        <w:t>мент строительства и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жилищно-коммунального </w:t>
      </w:r>
      <w:r w:rsidR="00CF0C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хозяйства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правительства </w:t>
      </w:r>
      <w:r w:rsidR="00B90A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Еврейской автономной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результатов использования трансферта в соответствии с Соглашением в году, следующем за годом предоставления трансферта, направляет в орган местного самоуправления</w:t>
      </w:r>
      <w:proofErr w:type="gramEnd"/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о возврате из бюджета муниципального образования в областной бюджет объема средств, рассчитанного в соответствии с </w:t>
      </w:r>
      <w:hyperlink r:id="rId16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>, с указанием суммы, подлежащей возврату, и сроков ее возврата в соответствии с настоящим</w:t>
      </w:r>
      <w:r w:rsidR="009112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12F1">
        <w:rPr>
          <w:rFonts w:ascii="Times New Roman" w:hAnsi="Times New Roman"/>
          <w:color w:val="000000" w:themeColor="text1"/>
          <w:sz w:val="28"/>
          <w:szCs w:val="28"/>
        </w:rPr>
        <w:t>Правилами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(далее – требование о возврате).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строительства и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жилищно-коммунального </w:t>
      </w:r>
      <w:r w:rsidR="009112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хозяйства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правительства </w:t>
      </w:r>
      <w:r w:rsidR="003B19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Еврейской автономной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в случае полного или частичного </w:t>
      </w:r>
      <w:proofErr w:type="spellStart"/>
      <w:r w:rsidRPr="00C46038">
        <w:rPr>
          <w:rFonts w:ascii="Times New Roman" w:hAnsi="Times New Roman"/>
          <w:color w:val="000000" w:themeColor="text1"/>
          <w:sz w:val="28"/>
          <w:szCs w:val="28"/>
        </w:rPr>
        <w:t>неперечисления</w:t>
      </w:r>
      <w:proofErr w:type="spellEnd"/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суммы, указанной в требовании о возврате, в течение 5 рабочих дней со дня истечения установленных </w:t>
      </w:r>
      <w:hyperlink r:id="rId17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7A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сроков для возврата в областной бюджет средств из бюджета муниципального образования</w:t>
      </w:r>
      <w:r w:rsidR="00F32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информацию о неисполнении требования о возврате в департамент финансов правительства 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Еврейской автономной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>области.</w:t>
      </w:r>
      <w:proofErr w:type="gramEnd"/>
    </w:p>
    <w:p w:rsidR="00B4139C" w:rsidRPr="00B4139C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0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 финансов правительства </w:t>
      </w:r>
      <w:r w:rsidR="003B198E">
        <w:rPr>
          <w:rFonts w:ascii="Times New Roman" w:hAnsi="Times New Roman"/>
          <w:color w:val="000000" w:themeColor="text1"/>
          <w:sz w:val="28"/>
          <w:szCs w:val="28"/>
        </w:rPr>
        <w:t xml:space="preserve">Еврейской автономной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>области в срок не позднее 10 рабоч</w:t>
      </w:r>
      <w:r w:rsidRPr="00C46038">
        <w:rPr>
          <w:rFonts w:ascii="Times New Roman" w:hAnsi="Times New Roman"/>
          <w:sz w:val="28"/>
          <w:szCs w:val="28"/>
        </w:rPr>
        <w:t xml:space="preserve">их дней со дня получения указанной информации назначает проверку исполнения органами местного самоуправления муниципальных образований требований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>
        <w:rPr>
          <w:rFonts w:ascii="Times New Roman" w:hAnsi="Times New Roman"/>
          <w:sz w:val="28"/>
          <w:szCs w:val="28"/>
        </w:rPr>
        <w:t>«</w:t>
      </w:r>
      <w:r w:rsidRPr="00C46038">
        <w:rPr>
          <w:rFonts w:ascii="Times New Roman" w:hAnsi="Times New Roman"/>
          <w:sz w:val="28"/>
          <w:szCs w:val="28"/>
        </w:rPr>
        <w:t>Проведение проверок, ревизий и обследований и оформление их результатов</w:t>
      </w:r>
      <w:r>
        <w:rPr>
          <w:rFonts w:ascii="Times New Roman" w:hAnsi="Times New Roman"/>
          <w:sz w:val="28"/>
          <w:szCs w:val="28"/>
        </w:rPr>
        <w:t>»</w:t>
      </w:r>
      <w:r w:rsidRPr="00C460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6038">
        <w:rPr>
          <w:rFonts w:ascii="Times New Roman" w:hAnsi="Times New Roman"/>
          <w:sz w:val="28"/>
          <w:szCs w:val="28"/>
        </w:rPr>
        <w:t>Реализация результатов проверок, ревизий и обследований</w:t>
      </w:r>
      <w:r>
        <w:rPr>
          <w:rFonts w:ascii="Times New Roman" w:hAnsi="Times New Roman"/>
          <w:sz w:val="28"/>
          <w:szCs w:val="28"/>
        </w:rPr>
        <w:t>»</w:t>
      </w:r>
      <w:r w:rsidRPr="00C46038">
        <w:rPr>
          <w:rFonts w:ascii="Times New Roman" w:hAnsi="Times New Roman"/>
          <w:sz w:val="28"/>
          <w:szCs w:val="28"/>
        </w:rPr>
        <w:t>.</w:t>
      </w:r>
      <w:proofErr w:type="gramEnd"/>
    </w:p>
    <w:p w:rsidR="00944E06" w:rsidRPr="00AE6CCB" w:rsidRDefault="004C2815" w:rsidP="00944E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8" w:history="1">
        <w:r w:rsidR="00944E06" w:rsidRPr="00EB561F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</w:hyperlink>
      <w:r w:rsidR="00B4139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условий, целей и порядка расходования трансферта муниципальными образованиями осуществляется </w:t>
      </w:r>
      <w:r w:rsidR="00061F4B">
        <w:rPr>
          <w:rFonts w:ascii="Times New Roman" w:hAnsi="Times New Roman"/>
          <w:sz w:val="28"/>
          <w:szCs w:val="28"/>
        </w:rPr>
        <w:t>департаментом</w:t>
      </w:r>
      <w:r w:rsidR="00B90A49">
        <w:rPr>
          <w:rFonts w:ascii="Times New Roman" w:hAnsi="Times New Roman"/>
          <w:sz w:val="28"/>
          <w:szCs w:val="28"/>
        </w:rPr>
        <w:t xml:space="preserve"> </w:t>
      </w:r>
      <w:r w:rsidR="00061F4B">
        <w:rPr>
          <w:rFonts w:ascii="Times New Roman" w:hAnsi="Times New Roman"/>
          <w:sz w:val="28"/>
          <w:szCs w:val="28"/>
        </w:rPr>
        <w:t xml:space="preserve">строительства и </w:t>
      </w:r>
      <w:r w:rsidR="00944E06" w:rsidRPr="00EB561F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944E06" w:rsidRPr="00EB561F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="00B90A49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944E06" w:rsidRPr="00EB561F">
        <w:rPr>
          <w:rFonts w:ascii="Times New Roman" w:hAnsi="Times New Roman"/>
          <w:sz w:val="28"/>
          <w:szCs w:val="28"/>
          <w:lang w:eastAsia="ru-RU"/>
        </w:rPr>
        <w:t>области и органами государственного финансового контроля в порядке, установленном бюджетным законодательством Российской Федерации</w:t>
      </w:r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725BE" w:rsidRDefault="00F725BE" w:rsidP="000A2B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2636" w:rsidRDefault="00192636" w:rsidP="000A2B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2636" w:rsidRPr="00C06981" w:rsidRDefault="00192636" w:rsidP="001926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92636" w:rsidRPr="00C06981" w:rsidSect="0016354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15" w:rsidRDefault="004C2815" w:rsidP="00083D18">
      <w:pPr>
        <w:spacing w:after="0" w:line="240" w:lineRule="auto"/>
      </w:pPr>
      <w:r>
        <w:separator/>
      </w:r>
    </w:p>
  </w:endnote>
  <w:endnote w:type="continuationSeparator" w:id="0">
    <w:p w:rsidR="004C2815" w:rsidRDefault="004C2815" w:rsidP="0008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15" w:rsidRDefault="004C2815" w:rsidP="00083D18">
      <w:pPr>
        <w:spacing w:after="0" w:line="240" w:lineRule="auto"/>
      </w:pPr>
      <w:r>
        <w:separator/>
      </w:r>
    </w:p>
  </w:footnote>
  <w:footnote w:type="continuationSeparator" w:id="0">
    <w:p w:rsidR="004C2815" w:rsidRDefault="004C2815" w:rsidP="0008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57350"/>
      <w:docPartObj>
        <w:docPartGallery w:val="Page Numbers (Top of Page)"/>
        <w:docPartUnique/>
      </w:docPartObj>
    </w:sdtPr>
    <w:sdtEndPr/>
    <w:sdtContent>
      <w:p w:rsidR="00083D18" w:rsidRDefault="0098256B" w:rsidP="002C78F7">
        <w:pPr>
          <w:pStyle w:val="a5"/>
          <w:jc w:val="center"/>
        </w:pPr>
        <w:r>
          <w:fldChar w:fldCharType="begin"/>
        </w:r>
        <w:r w:rsidR="00083D18">
          <w:instrText>PAGE   \* MERGEFORMAT</w:instrText>
        </w:r>
        <w:r>
          <w:fldChar w:fldCharType="separate"/>
        </w:r>
        <w:r w:rsidR="004573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3048C"/>
    <w:multiLevelType w:val="hybridMultilevel"/>
    <w:tmpl w:val="A1F8396C"/>
    <w:lvl w:ilvl="0" w:tplc="159A2898">
      <w:start w:val="4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14"/>
    <w:rsid w:val="000040BB"/>
    <w:rsid w:val="00022B08"/>
    <w:rsid w:val="00027BD2"/>
    <w:rsid w:val="00044B75"/>
    <w:rsid w:val="00061F4B"/>
    <w:rsid w:val="00063F30"/>
    <w:rsid w:val="00083516"/>
    <w:rsid w:val="00083D18"/>
    <w:rsid w:val="000968FA"/>
    <w:rsid w:val="000977F7"/>
    <w:rsid w:val="000A2BB4"/>
    <w:rsid w:val="000A2FA8"/>
    <w:rsid w:val="000E5EC9"/>
    <w:rsid w:val="000E62F5"/>
    <w:rsid w:val="000F2714"/>
    <w:rsid w:val="00133E2D"/>
    <w:rsid w:val="0013549F"/>
    <w:rsid w:val="0015413A"/>
    <w:rsid w:val="00157FBF"/>
    <w:rsid w:val="001634FC"/>
    <w:rsid w:val="0016354E"/>
    <w:rsid w:val="00185C9C"/>
    <w:rsid w:val="00192636"/>
    <w:rsid w:val="001A6823"/>
    <w:rsid w:val="001C3AA7"/>
    <w:rsid w:val="00280DDB"/>
    <w:rsid w:val="0028443B"/>
    <w:rsid w:val="00290D8E"/>
    <w:rsid w:val="002A3718"/>
    <w:rsid w:val="002C28F8"/>
    <w:rsid w:val="002C78F7"/>
    <w:rsid w:val="003539E8"/>
    <w:rsid w:val="003B198E"/>
    <w:rsid w:val="003B5561"/>
    <w:rsid w:val="00405363"/>
    <w:rsid w:val="00405DB2"/>
    <w:rsid w:val="00443F6F"/>
    <w:rsid w:val="00451C59"/>
    <w:rsid w:val="00457366"/>
    <w:rsid w:val="0046792F"/>
    <w:rsid w:val="00483795"/>
    <w:rsid w:val="00483F88"/>
    <w:rsid w:val="004C167A"/>
    <w:rsid w:val="004C2815"/>
    <w:rsid w:val="004C5EBF"/>
    <w:rsid w:val="004E6A72"/>
    <w:rsid w:val="004E702F"/>
    <w:rsid w:val="004F4003"/>
    <w:rsid w:val="004F6569"/>
    <w:rsid w:val="005161FF"/>
    <w:rsid w:val="005749CA"/>
    <w:rsid w:val="00581986"/>
    <w:rsid w:val="005977AD"/>
    <w:rsid w:val="005A7629"/>
    <w:rsid w:val="006328E1"/>
    <w:rsid w:val="00635EC8"/>
    <w:rsid w:val="006A2922"/>
    <w:rsid w:val="006B17F5"/>
    <w:rsid w:val="006B736A"/>
    <w:rsid w:val="006C63F6"/>
    <w:rsid w:val="00713031"/>
    <w:rsid w:val="00746519"/>
    <w:rsid w:val="0076197A"/>
    <w:rsid w:val="00787232"/>
    <w:rsid w:val="007B5021"/>
    <w:rsid w:val="007C3CB9"/>
    <w:rsid w:val="007D4DC3"/>
    <w:rsid w:val="007E2630"/>
    <w:rsid w:val="007E676E"/>
    <w:rsid w:val="007F385C"/>
    <w:rsid w:val="007F624B"/>
    <w:rsid w:val="00800D96"/>
    <w:rsid w:val="008109E6"/>
    <w:rsid w:val="00811453"/>
    <w:rsid w:val="008555D0"/>
    <w:rsid w:val="00876B48"/>
    <w:rsid w:val="008A0086"/>
    <w:rsid w:val="008E075B"/>
    <w:rsid w:val="008F60C2"/>
    <w:rsid w:val="008F7835"/>
    <w:rsid w:val="009039E3"/>
    <w:rsid w:val="009112F1"/>
    <w:rsid w:val="00944E06"/>
    <w:rsid w:val="00966F75"/>
    <w:rsid w:val="0098256B"/>
    <w:rsid w:val="0099630C"/>
    <w:rsid w:val="009B344B"/>
    <w:rsid w:val="009C3B9A"/>
    <w:rsid w:val="009E244E"/>
    <w:rsid w:val="00A817E7"/>
    <w:rsid w:val="00AB7991"/>
    <w:rsid w:val="00AC5D9F"/>
    <w:rsid w:val="00AD1FC0"/>
    <w:rsid w:val="00AE562E"/>
    <w:rsid w:val="00AE6244"/>
    <w:rsid w:val="00AE76ED"/>
    <w:rsid w:val="00B17062"/>
    <w:rsid w:val="00B2163D"/>
    <w:rsid w:val="00B26F79"/>
    <w:rsid w:val="00B27D34"/>
    <w:rsid w:val="00B313FD"/>
    <w:rsid w:val="00B4139C"/>
    <w:rsid w:val="00B54FBC"/>
    <w:rsid w:val="00B72024"/>
    <w:rsid w:val="00B74772"/>
    <w:rsid w:val="00B82DA3"/>
    <w:rsid w:val="00B90268"/>
    <w:rsid w:val="00B90A49"/>
    <w:rsid w:val="00B90C47"/>
    <w:rsid w:val="00B91F24"/>
    <w:rsid w:val="00C06981"/>
    <w:rsid w:val="00C16AD1"/>
    <w:rsid w:val="00C235A9"/>
    <w:rsid w:val="00C35F18"/>
    <w:rsid w:val="00C46CCD"/>
    <w:rsid w:val="00C47700"/>
    <w:rsid w:val="00C5545B"/>
    <w:rsid w:val="00C60364"/>
    <w:rsid w:val="00C73ABD"/>
    <w:rsid w:val="00CA3729"/>
    <w:rsid w:val="00CD1A74"/>
    <w:rsid w:val="00CF0C8C"/>
    <w:rsid w:val="00CF247B"/>
    <w:rsid w:val="00CF7AF7"/>
    <w:rsid w:val="00D835A8"/>
    <w:rsid w:val="00DA00B6"/>
    <w:rsid w:val="00DA749A"/>
    <w:rsid w:val="00DE7BC4"/>
    <w:rsid w:val="00E52CCB"/>
    <w:rsid w:val="00E61C22"/>
    <w:rsid w:val="00E766E8"/>
    <w:rsid w:val="00E94299"/>
    <w:rsid w:val="00EB561F"/>
    <w:rsid w:val="00EC4072"/>
    <w:rsid w:val="00EF47EF"/>
    <w:rsid w:val="00F324A3"/>
    <w:rsid w:val="00F32E57"/>
    <w:rsid w:val="00F459E9"/>
    <w:rsid w:val="00F653A4"/>
    <w:rsid w:val="00F725BE"/>
    <w:rsid w:val="00F77B1E"/>
    <w:rsid w:val="00F8657A"/>
    <w:rsid w:val="00F97D87"/>
    <w:rsid w:val="00FB71CC"/>
    <w:rsid w:val="00FE1848"/>
    <w:rsid w:val="00FE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8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7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10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4" Type="http://schemas.openxmlformats.org/officeDocument/2006/relationships/hyperlink" Target="consultantplus://offline/ref=C3140AD39297C8BFC66CEF2F0F8D2C05587647436A4E1A5EA4FFFB04C9E207A4286D6E2B36853271AA69BC553128BAD6FCE9EB478A7BDF2E3A97FEx6K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17</cp:revision>
  <cp:lastPrinted>2022-05-30T05:53:00Z</cp:lastPrinted>
  <dcterms:created xsi:type="dcterms:W3CDTF">2022-05-26T06:05:00Z</dcterms:created>
  <dcterms:modified xsi:type="dcterms:W3CDTF">2023-01-20T04:52:00Z</dcterms:modified>
</cp:coreProperties>
</file>